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683" w14:textId="77777777" w:rsidR="00435EA0" w:rsidRPr="00340AA7" w:rsidRDefault="002662B4" w:rsidP="00435EA0">
      <w:pPr>
        <w:jc w:val="center"/>
        <w:rPr>
          <w:rFonts w:ascii="Arial" w:hAnsi="Arial" w:cs="Arial"/>
        </w:rPr>
      </w:pPr>
      <w:r>
        <w:fldChar w:fldCharType="begin"/>
      </w:r>
      <w:r>
        <w:instrText xml:space="preserve"> HYPERLINK "http://www.ere.co.il" </w:instrText>
      </w:r>
      <w:r>
        <w:fldChar w:fldCharType="separate"/>
      </w:r>
      <w:r w:rsidR="00435EA0" w:rsidRPr="00340AA7">
        <w:rPr>
          <w:rStyle w:val="Hyperlink"/>
          <w:rFonts w:ascii="Arial" w:hAnsi="Arial" w:cs="Arial"/>
        </w:rPr>
        <w:t>www.ere.co.il</w:t>
      </w:r>
      <w:r>
        <w:rPr>
          <w:rStyle w:val="Hyperlink"/>
          <w:rFonts w:ascii="Arial" w:hAnsi="Arial" w:cs="Arial"/>
        </w:rPr>
        <w:fldChar w:fldCharType="end"/>
      </w:r>
    </w:p>
    <w:p w14:paraId="3693BB31" w14:textId="102ECC14" w:rsidR="00435EA0" w:rsidRPr="00340AA7" w:rsidRDefault="00435EA0" w:rsidP="00435EA0">
      <w:pPr>
        <w:pStyle w:val="a5"/>
        <w:bidi/>
        <w:ind w:left="5760" w:firstLine="720"/>
        <w:jc w:val="right"/>
        <w:rPr>
          <w:rFonts w:ascii="Arial" w:hAnsi="Arial" w:cs="Arial"/>
          <w:rtl/>
        </w:rPr>
      </w:pPr>
      <w:r w:rsidRPr="00640B4A">
        <w:rPr>
          <w:rFonts w:ascii="Arial" w:hAnsi="Arial" w:cs="Arial"/>
          <w:rtl/>
        </w:rPr>
        <w:t xml:space="preserve">תאריך: </w:t>
      </w:r>
      <w:r w:rsidR="009E5357" w:rsidRPr="00640B4A">
        <w:rPr>
          <w:rFonts w:ascii="Arial" w:hAnsi="Arial" w:cs="Arial" w:hint="cs"/>
          <w:rtl/>
        </w:rPr>
        <w:t>31/01/</w:t>
      </w:r>
      <w:r w:rsidR="003B1289" w:rsidRPr="00640B4A">
        <w:rPr>
          <w:rFonts w:ascii="Arial" w:hAnsi="Arial" w:cs="Arial" w:hint="cs"/>
          <w:rtl/>
        </w:rPr>
        <w:t>2022</w:t>
      </w:r>
    </w:p>
    <w:p w14:paraId="70FA3A0E" w14:textId="77777777" w:rsidR="009E5357" w:rsidRDefault="009E5357" w:rsidP="009E5357">
      <w:pPr>
        <w:pStyle w:val="a5"/>
        <w:bidi/>
        <w:jc w:val="both"/>
        <w:rPr>
          <w:rFonts w:ascii="Arial" w:hAnsi="Arial" w:cs="Arial"/>
          <w:rtl/>
        </w:rPr>
      </w:pPr>
    </w:p>
    <w:p w14:paraId="17AC09D6" w14:textId="71CF4655" w:rsidR="004B2E34" w:rsidRDefault="004B2E34" w:rsidP="00525138">
      <w:pPr>
        <w:pStyle w:val="a5"/>
        <w:tabs>
          <w:tab w:val="clear" w:pos="8640"/>
        </w:tabs>
        <w:bidi/>
        <w:ind w:right="-426"/>
        <w:jc w:val="both"/>
        <w:rPr>
          <w:rFonts w:ascii="Arial" w:hAnsi="Arial" w:cs="Arial"/>
          <w:rtl/>
        </w:rPr>
      </w:pPr>
      <w:r w:rsidRPr="004B2E34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38451308" wp14:editId="61700AC0">
                <wp:extent cx="3365288" cy="1404620"/>
                <wp:effectExtent l="0" t="0" r="0" b="0"/>
                <wp:docPr id="217" name="תיבת טקסט 2" descr="לכבוד, רשות ניירות ערך&#10;www.isa.gov.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2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8BA8" w14:textId="4DAC068D" w:rsidR="004B2E34" w:rsidRDefault="004B2E34" w:rsidP="004B2E34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40AA7">
                              <w:rPr>
                                <w:rFonts w:ascii="Arial" w:hAnsi="Arial" w:cs="Arial"/>
                                <w:rtl/>
                              </w:rPr>
                              <w:t>לכבוד</w:t>
                            </w:r>
                          </w:p>
                          <w:p w14:paraId="09927CCA" w14:textId="3D7C69D7" w:rsidR="004B2E34" w:rsidRDefault="004B2E34" w:rsidP="004B2E34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40AA7">
                              <w:rPr>
                                <w:rFonts w:ascii="Arial" w:hAnsi="Arial" w:cs="Arial"/>
                                <w:rtl/>
                              </w:rPr>
                              <w:t>רשות ניירות ערך</w:t>
                            </w:r>
                          </w:p>
                          <w:p w14:paraId="68F52BB4" w14:textId="209A86FD" w:rsidR="004B2E34" w:rsidRDefault="00823C74" w:rsidP="004B2E34">
                            <w:pPr>
                              <w:bidi/>
                              <w:spacing w:after="0" w:line="240" w:lineRule="auto"/>
                            </w:pPr>
                            <w:hyperlink r:id="rId6" w:history="1">
                              <w:r w:rsidR="004B2E34" w:rsidRPr="00340AA7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www.isa.gov.il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3845130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לכבוד, רשות ניירות ערך&#10;www.isa.gov.il" style="width:265pt;height:110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" filled="f" stroked="f">
                <v:textbox style="mso-fit-shape-to-text:t">
                  <w:txbxContent>
                    <w:p w14:paraId="0DC18BA8" w14:textId="4DAC068D" w:rsidR="004B2E34" w:rsidRDefault="004B2E34" w:rsidP="004B2E34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rtl/>
                        </w:rPr>
                      </w:pPr>
                      <w:r w:rsidRPr="00340AA7">
                        <w:rPr>
                          <w:rFonts w:ascii="Arial" w:hAnsi="Arial" w:cs="Arial"/>
                          <w:rtl/>
                        </w:rPr>
                        <w:t>לכבוד</w:t>
                      </w:r>
                    </w:p>
                    <w:p w14:paraId="09927CCA" w14:textId="3D7C69D7" w:rsidR="004B2E34" w:rsidRDefault="004B2E34" w:rsidP="004B2E34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rtl/>
                        </w:rPr>
                      </w:pPr>
                      <w:r w:rsidRPr="00340AA7">
                        <w:rPr>
                          <w:rFonts w:ascii="Arial" w:hAnsi="Arial" w:cs="Arial"/>
                          <w:rtl/>
                        </w:rPr>
                        <w:t>רשות ניירות ערך</w:t>
                      </w:r>
                    </w:p>
                    <w:p w14:paraId="68F52BB4" w14:textId="209A86FD" w:rsidR="004B2E34" w:rsidRDefault="004B2E34" w:rsidP="004B2E34">
                      <w:pPr>
                        <w:bidi/>
                        <w:spacing w:after="0" w:line="240" w:lineRule="auto"/>
                      </w:pPr>
                      <w:hyperlink r:id="rId7" w:history="1">
                        <w:r w:rsidRPr="00340AA7">
                          <w:rPr>
                            <w:rStyle w:val="Hyperlink"/>
                            <w:rFonts w:ascii="Arial" w:hAnsi="Arial" w:cs="Arial"/>
                          </w:rPr>
                          <w:t>www.isa.gov.il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525138" w:rsidRPr="004B2E34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37CA1E32" wp14:editId="28EC310F">
                <wp:extent cx="2360930" cy="1404620"/>
                <wp:effectExtent l="0" t="0" r="0" b="0"/>
                <wp:docPr id="1" name="תיבת טקסט 2" descr="לכבוד, הבורסה לניירות ערך בתל-אביב בע&quot;מ www.tase.co.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8EC3" w14:textId="77777777" w:rsidR="00525138" w:rsidRDefault="00525138" w:rsidP="00525138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40AA7">
                              <w:rPr>
                                <w:rFonts w:ascii="Arial" w:hAnsi="Arial" w:cs="Arial"/>
                                <w:rtl/>
                              </w:rPr>
                              <w:t>לכבוד</w:t>
                            </w:r>
                          </w:p>
                          <w:p w14:paraId="4239FD5A" w14:textId="77777777" w:rsidR="00525138" w:rsidRDefault="00525138" w:rsidP="00525138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40AA7">
                              <w:rPr>
                                <w:rFonts w:ascii="Arial" w:hAnsi="Arial" w:cs="Arial"/>
                                <w:rtl/>
                              </w:rPr>
                              <w:t xml:space="preserve">הבורסה לניירות ערך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בתל-אביב בע"מ</w:t>
                            </w:r>
                          </w:p>
                          <w:p w14:paraId="4DDA0BEC" w14:textId="65CE9BC0" w:rsidR="00525138" w:rsidRDefault="00823C74" w:rsidP="00525138">
                            <w:pPr>
                              <w:bidi/>
                              <w:spacing w:after="0" w:line="240" w:lineRule="auto"/>
                            </w:pPr>
                            <w:hyperlink r:id="rId8" w:history="1">
                              <w:r w:rsidR="00525138" w:rsidRPr="006C0ECC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www.tase.co.il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7CA1E32" id="_x0000_s1027" type="#_x0000_t202" alt="לכבוד, הבורסה לניירות ערך בתל-אביב בע&quot;מ www.tase.co.il" style="width:185.9pt;height:110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" filled="f" stroked="f">
                <v:textbox style="mso-fit-shape-to-text:t">
                  <w:txbxContent>
                    <w:p w14:paraId="0D538EC3" w14:textId="77777777" w:rsidR="00525138" w:rsidRDefault="00525138" w:rsidP="00525138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rtl/>
                        </w:rPr>
                      </w:pPr>
                      <w:r w:rsidRPr="00340AA7">
                        <w:rPr>
                          <w:rFonts w:ascii="Arial" w:hAnsi="Arial" w:cs="Arial"/>
                          <w:rtl/>
                        </w:rPr>
                        <w:t>לכבוד</w:t>
                      </w:r>
                    </w:p>
                    <w:p w14:paraId="4239FD5A" w14:textId="77777777" w:rsidR="00525138" w:rsidRDefault="00525138" w:rsidP="00525138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rtl/>
                        </w:rPr>
                      </w:pPr>
                      <w:r w:rsidRPr="00340AA7">
                        <w:rPr>
                          <w:rFonts w:ascii="Arial" w:hAnsi="Arial" w:cs="Arial"/>
                          <w:rtl/>
                        </w:rPr>
                        <w:t xml:space="preserve">הבורסה לניירות ערך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בתל-אביב בע"מ</w:t>
                      </w:r>
                    </w:p>
                    <w:p w14:paraId="4DDA0BEC" w14:textId="65CE9BC0" w:rsidR="00525138" w:rsidRDefault="00525138" w:rsidP="00525138">
                      <w:pPr>
                        <w:bidi/>
                        <w:spacing w:after="0" w:line="240" w:lineRule="auto"/>
                      </w:pPr>
                      <w:hyperlink r:id="rId9" w:history="1">
                        <w:r w:rsidRPr="006C0ECC">
                          <w:rPr>
                            <w:rStyle w:val="Hyperlink"/>
                            <w:rFonts w:ascii="Arial" w:hAnsi="Arial" w:cs="Arial"/>
                          </w:rPr>
                          <w:t>www.tase.co.il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EEC882F" w14:textId="2259651B" w:rsidR="009E5357" w:rsidRPr="00340AA7" w:rsidRDefault="009E5357" w:rsidP="00525138">
      <w:pPr>
        <w:pStyle w:val="a5"/>
        <w:bidi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</w:p>
    <w:p w14:paraId="73312CFE" w14:textId="77777777" w:rsidR="009E5357" w:rsidRPr="00557540" w:rsidRDefault="009E5357" w:rsidP="009E5357">
      <w:pPr>
        <w:pStyle w:val="a5"/>
        <w:bidi/>
        <w:rPr>
          <w:rFonts w:cs="David"/>
          <w:rtl/>
        </w:rPr>
      </w:pPr>
    </w:p>
    <w:p w14:paraId="20BC7D2E" w14:textId="19914370" w:rsidR="009E5357" w:rsidRPr="009E5357" w:rsidRDefault="009E5357" w:rsidP="009E5357">
      <w:pPr>
        <w:bidi/>
        <w:rPr>
          <w:rFonts w:ascii="Arial" w:hAnsi="Arial" w:cs="David"/>
          <w:rtl/>
        </w:rPr>
      </w:pPr>
      <w:r w:rsidRPr="00557540">
        <w:rPr>
          <w:rFonts w:ascii="Arial" w:hAnsi="Arial" w:cs="David"/>
          <w:rtl/>
        </w:rPr>
        <w:t>א.ג.נ.,</w:t>
      </w:r>
    </w:p>
    <w:p w14:paraId="7A1B15CA" w14:textId="066FCEE3" w:rsidR="009E5357" w:rsidRPr="00F53B6A" w:rsidRDefault="009E5357" w:rsidP="00F53B6A">
      <w:pPr>
        <w:pStyle w:val="1"/>
        <w:rPr>
          <w:u w:val="single"/>
          <w:rtl/>
        </w:rPr>
      </w:pPr>
      <w:r w:rsidRPr="00F53B6A">
        <w:rPr>
          <w:rtl/>
        </w:rPr>
        <w:t>הנדון:</w:t>
      </w:r>
      <w:r w:rsidRPr="00F53B6A">
        <w:rPr>
          <w:rtl/>
        </w:rPr>
        <w:tab/>
      </w:r>
      <w:r w:rsidRPr="00F53B6A">
        <w:rPr>
          <w:u w:val="single"/>
          <w:rtl/>
        </w:rPr>
        <w:t xml:space="preserve">אלקטרה נדל"ן בע"מ (להלן: "החברה") – דיווח </w:t>
      </w:r>
      <w:r w:rsidRPr="00F53B6A">
        <w:rPr>
          <w:rFonts w:hint="cs"/>
          <w:u w:val="single"/>
          <w:rtl/>
        </w:rPr>
        <w:t>חודשי</w:t>
      </w:r>
      <w:r w:rsidR="004204AD" w:rsidRPr="00F53B6A">
        <w:rPr>
          <w:rFonts w:hint="cs"/>
          <w:u w:val="single"/>
          <w:rtl/>
        </w:rPr>
        <w:t xml:space="preserve"> ינואר 2022</w:t>
      </w:r>
    </w:p>
    <w:p w14:paraId="387768E2" w14:textId="3805EA85" w:rsidR="00E05F36" w:rsidRPr="00D377E2" w:rsidRDefault="00D377E2" w:rsidP="00640B4A">
      <w:pPr>
        <w:bidi/>
        <w:ind w:right="-709"/>
        <w:rPr>
          <w:sz w:val="20"/>
          <w:szCs w:val="20"/>
          <w:rtl/>
        </w:rPr>
      </w:pPr>
      <w:r w:rsidRPr="00D377E2">
        <w:rPr>
          <w:rFonts w:cs="Arial"/>
          <w:sz w:val="20"/>
          <w:szCs w:val="20"/>
          <w:rtl/>
        </w:rPr>
        <w:t xml:space="preserve">בהמשך לאמור בדיווח מיידי שפרסמה החברה ביום </w:t>
      </w:r>
      <w:r>
        <w:rPr>
          <w:rFonts w:cs="Arial" w:hint="cs"/>
          <w:sz w:val="20"/>
          <w:szCs w:val="20"/>
          <w:rtl/>
        </w:rPr>
        <w:t>2</w:t>
      </w:r>
      <w:r w:rsidRPr="00D377E2">
        <w:rPr>
          <w:rFonts w:cs="Arial"/>
          <w:sz w:val="20"/>
          <w:szCs w:val="20"/>
          <w:rtl/>
        </w:rPr>
        <w:t xml:space="preserve"> ב</w:t>
      </w:r>
      <w:r>
        <w:rPr>
          <w:rFonts w:cs="Arial" w:hint="cs"/>
          <w:sz w:val="20"/>
          <w:szCs w:val="20"/>
          <w:rtl/>
        </w:rPr>
        <w:t>ינואר</w:t>
      </w:r>
      <w:r w:rsidRPr="00D377E2">
        <w:rPr>
          <w:rFonts w:cs="Arial"/>
          <w:sz w:val="20"/>
          <w:szCs w:val="20"/>
          <w:rtl/>
        </w:rPr>
        <w:t xml:space="preserve"> 202</w:t>
      </w:r>
      <w:r>
        <w:rPr>
          <w:rFonts w:cs="Arial" w:hint="cs"/>
          <w:sz w:val="20"/>
          <w:szCs w:val="20"/>
          <w:rtl/>
        </w:rPr>
        <w:t>2</w:t>
      </w:r>
      <w:r w:rsidRPr="00D377E2">
        <w:rPr>
          <w:rFonts w:cs="Arial"/>
          <w:sz w:val="20"/>
          <w:szCs w:val="20"/>
          <w:rtl/>
        </w:rPr>
        <w:t xml:space="preserve"> (אסמכתא מספר: 20</w:t>
      </w:r>
      <w:r>
        <w:rPr>
          <w:rFonts w:cs="Arial" w:hint="cs"/>
          <w:sz w:val="20"/>
          <w:szCs w:val="20"/>
          <w:rtl/>
        </w:rPr>
        <w:t>22</w:t>
      </w:r>
      <w:r w:rsidRPr="00D377E2">
        <w:rPr>
          <w:rFonts w:cs="Arial"/>
          <w:sz w:val="20"/>
          <w:szCs w:val="20"/>
          <w:rtl/>
        </w:rPr>
        <w:t>-01-</w:t>
      </w:r>
      <w:r>
        <w:rPr>
          <w:rFonts w:cs="Arial" w:hint="cs"/>
          <w:sz w:val="20"/>
          <w:szCs w:val="20"/>
          <w:rtl/>
        </w:rPr>
        <w:t>000138</w:t>
      </w:r>
      <w:r w:rsidRPr="00D377E2">
        <w:rPr>
          <w:rFonts w:cs="Arial"/>
          <w:sz w:val="20"/>
          <w:szCs w:val="20"/>
          <w:rtl/>
        </w:rPr>
        <w:t xml:space="preserve">), </w:t>
      </w:r>
      <w:r w:rsidR="00805533">
        <w:rPr>
          <w:rFonts w:cs="Arial" w:hint="cs"/>
          <w:sz w:val="20"/>
          <w:szCs w:val="20"/>
          <w:rtl/>
        </w:rPr>
        <w:t xml:space="preserve">להלן ריכוז </w:t>
      </w:r>
      <w:r w:rsidR="00640B4A">
        <w:rPr>
          <w:rFonts w:cs="Arial" w:hint="cs"/>
          <w:sz w:val="20"/>
          <w:szCs w:val="20"/>
          <w:rtl/>
        </w:rPr>
        <w:t>ה</w:t>
      </w:r>
      <w:r w:rsidR="00805533">
        <w:rPr>
          <w:rFonts w:cs="Arial" w:hint="cs"/>
          <w:sz w:val="20"/>
          <w:szCs w:val="20"/>
          <w:rtl/>
        </w:rPr>
        <w:t>רכישות שנעשו בח</w:t>
      </w:r>
      <w:r w:rsidR="00640B4A">
        <w:rPr>
          <w:rFonts w:cs="Arial" w:hint="cs"/>
          <w:sz w:val="20"/>
          <w:szCs w:val="20"/>
          <w:rtl/>
        </w:rPr>
        <w:t>ו</w:t>
      </w:r>
      <w:r w:rsidR="00805533">
        <w:rPr>
          <w:rFonts w:cs="Arial" w:hint="cs"/>
          <w:sz w:val="20"/>
          <w:szCs w:val="20"/>
          <w:rtl/>
        </w:rPr>
        <w:t>דש ינואר 2022:</w:t>
      </w:r>
    </w:p>
    <w:p w14:paraId="492CF3F4" w14:textId="50647207" w:rsidR="001E3493" w:rsidRPr="004E4D33" w:rsidRDefault="00055FA8" w:rsidP="004E4D33">
      <w:pPr>
        <w:pStyle w:val="2"/>
        <w:rPr>
          <w:rtl/>
        </w:rPr>
      </w:pPr>
      <w:r w:rsidRPr="004E4D33">
        <w:rPr>
          <w:rFonts w:hint="cs"/>
          <w:rtl/>
        </w:rPr>
        <w:t xml:space="preserve">רכישות מקבצי דיור - </w:t>
      </w:r>
    </w:p>
    <w:tbl>
      <w:tblPr>
        <w:tblStyle w:val="a8"/>
        <w:bidiVisual/>
        <w:tblW w:w="9996" w:type="dxa"/>
        <w:tblInd w:w="-149" w:type="dxa"/>
        <w:tblLook w:val="04A0" w:firstRow="1" w:lastRow="0" w:firstColumn="1" w:lastColumn="0" w:noHBand="0" w:noVBand="1"/>
        <w:tblCaption w:val="טבלת רכישות מקבצי דיור"/>
        <w:tblDescription w:val="רכישות מקבצי דיור"/>
      </w:tblPr>
      <w:tblGrid>
        <w:gridCol w:w="1154"/>
        <w:gridCol w:w="1195"/>
        <w:gridCol w:w="1155"/>
        <w:gridCol w:w="1155"/>
        <w:gridCol w:w="1538"/>
        <w:gridCol w:w="1155"/>
        <w:gridCol w:w="1226"/>
        <w:gridCol w:w="1418"/>
      </w:tblGrid>
      <w:tr w:rsidR="0049018B" w14:paraId="2821F730" w14:textId="77777777" w:rsidTr="007E5B4C">
        <w:trPr>
          <w:trHeight w:val="786"/>
          <w:tblHeader/>
        </w:trPr>
        <w:tc>
          <w:tcPr>
            <w:tcW w:w="1154" w:type="dxa"/>
            <w:shd w:val="clear" w:color="auto" w:fill="2F5496" w:themeFill="accent1" w:themeFillShade="BF"/>
            <w:vAlign w:val="center"/>
          </w:tcPr>
          <w:p w14:paraId="38EB3BFC" w14:textId="4B4603F9" w:rsidR="004E4D33" w:rsidRPr="00427877" w:rsidRDefault="00F05275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שם הנכס</w:t>
            </w:r>
          </w:p>
        </w:tc>
        <w:tc>
          <w:tcPr>
            <w:tcW w:w="1195" w:type="dxa"/>
            <w:shd w:val="clear" w:color="auto" w:fill="2F5496" w:themeFill="accent1" w:themeFillShade="BF"/>
            <w:vAlign w:val="center"/>
          </w:tcPr>
          <w:p w14:paraId="33690D96" w14:textId="4ABD29C3" w:rsidR="004E4D33" w:rsidRPr="00427877" w:rsidRDefault="00F05275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תאריך רכישה</w:t>
            </w:r>
          </w:p>
        </w:tc>
        <w:tc>
          <w:tcPr>
            <w:tcW w:w="1155" w:type="dxa"/>
            <w:shd w:val="clear" w:color="auto" w:fill="2F5496" w:themeFill="accent1" w:themeFillShade="BF"/>
            <w:vAlign w:val="center"/>
          </w:tcPr>
          <w:p w14:paraId="603B0191" w14:textId="7B4433FE" w:rsidR="004E4D33" w:rsidRPr="00427877" w:rsidRDefault="00F05275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בעלות</w:t>
            </w:r>
          </w:p>
        </w:tc>
        <w:tc>
          <w:tcPr>
            <w:tcW w:w="1155" w:type="dxa"/>
            <w:shd w:val="clear" w:color="auto" w:fill="2F5496" w:themeFill="accent1" w:themeFillShade="BF"/>
            <w:vAlign w:val="center"/>
          </w:tcPr>
          <w:p w14:paraId="52B7FBDB" w14:textId="28655790" w:rsidR="004E4D33" w:rsidRPr="00427877" w:rsidRDefault="00F05275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מיקום הנכס</w:t>
            </w:r>
          </w:p>
        </w:tc>
        <w:tc>
          <w:tcPr>
            <w:tcW w:w="1538" w:type="dxa"/>
            <w:shd w:val="clear" w:color="auto" w:fill="2F5496" w:themeFill="accent1" w:themeFillShade="BF"/>
            <w:vAlign w:val="center"/>
          </w:tcPr>
          <w:p w14:paraId="7745D4C6" w14:textId="35E7C559" w:rsidR="004E4D33" w:rsidRPr="00427877" w:rsidRDefault="00F05275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מספר יחידות דיור</w:t>
            </w:r>
          </w:p>
        </w:tc>
        <w:tc>
          <w:tcPr>
            <w:tcW w:w="1155" w:type="dxa"/>
            <w:shd w:val="clear" w:color="auto" w:fill="2F5496" w:themeFill="accent1" w:themeFillShade="BF"/>
            <w:vAlign w:val="center"/>
          </w:tcPr>
          <w:p w14:paraId="4D00B66D" w14:textId="228122BB" w:rsidR="004E4D33" w:rsidRPr="00427877" w:rsidRDefault="00F05275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מחיר רכישה (100%)</w:t>
            </w:r>
          </w:p>
        </w:tc>
        <w:tc>
          <w:tcPr>
            <w:tcW w:w="1226" w:type="dxa"/>
            <w:shd w:val="clear" w:color="auto" w:fill="2F5496" w:themeFill="accent1" w:themeFillShade="BF"/>
            <w:vAlign w:val="center"/>
          </w:tcPr>
          <w:p w14:paraId="2F634F3C" w14:textId="4ACB54F8" w:rsidR="004E4D33" w:rsidRPr="00427877" w:rsidRDefault="00F05275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הון עצמי מושקע (100%)</w:t>
            </w:r>
          </w:p>
        </w:tc>
        <w:tc>
          <w:tcPr>
            <w:tcW w:w="1418" w:type="dxa"/>
            <w:shd w:val="clear" w:color="auto" w:fill="2F5496" w:themeFill="accent1" w:themeFillShade="BF"/>
            <w:vAlign w:val="center"/>
          </w:tcPr>
          <w:p w14:paraId="0FE39042" w14:textId="406261E0" w:rsidR="004E4D33" w:rsidRPr="00427877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27877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  <w:rtl/>
              </w:rPr>
              <w:t>הון עצמי מושקע (חלק החברה)</w:t>
            </w:r>
          </w:p>
        </w:tc>
      </w:tr>
      <w:tr w:rsidR="0049018B" w14:paraId="4E9A026F" w14:textId="77777777" w:rsidTr="00F46286">
        <w:trPr>
          <w:trHeight w:val="591"/>
        </w:trPr>
        <w:tc>
          <w:tcPr>
            <w:tcW w:w="1154" w:type="dxa"/>
            <w:shd w:val="clear" w:color="auto" w:fill="DEEAF6"/>
            <w:vAlign w:val="center"/>
          </w:tcPr>
          <w:p w14:paraId="3A14C3A8" w14:textId="7F1CACFD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9018B">
              <w:rPr>
                <w:rFonts w:asciiTheme="minorBidi" w:hAnsiTheme="minorBidi"/>
                <w:sz w:val="18"/>
                <w:szCs w:val="18"/>
              </w:rPr>
              <w:t>The Elliot</w:t>
            </w:r>
          </w:p>
        </w:tc>
        <w:tc>
          <w:tcPr>
            <w:tcW w:w="1195" w:type="dxa"/>
            <w:shd w:val="clear" w:color="auto" w:fill="DEEAF6"/>
            <w:vAlign w:val="center"/>
          </w:tcPr>
          <w:p w14:paraId="49A2C7FE" w14:textId="0B6C9E87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49018B">
              <w:rPr>
                <w:rFonts w:asciiTheme="minorBidi" w:hAnsiTheme="minorBidi"/>
                <w:sz w:val="18"/>
                <w:szCs w:val="18"/>
              </w:rPr>
              <w:t>25.01.2022</w:t>
            </w:r>
          </w:p>
        </w:tc>
        <w:tc>
          <w:tcPr>
            <w:tcW w:w="1155" w:type="dxa"/>
            <w:shd w:val="clear" w:color="auto" w:fill="DEEAF6"/>
            <w:vAlign w:val="center"/>
          </w:tcPr>
          <w:p w14:paraId="04DF2B73" w14:textId="0E87D2CF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49018B">
              <w:rPr>
                <w:rFonts w:asciiTheme="minorBidi" w:hAnsiTheme="minorBidi"/>
                <w:sz w:val="18"/>
                <w:szCs w:val="18"/>
              </w:rPr>
              <w:t>American Landmark LLC</w:t>
            </w:r>
          </w:p>
        </w:tc>
        <w:tc>
          <w:tcPr>
            <w:tcW w:w="1155" w:type="dxa"/>
            <w:shd w:val="clear" w:color="auto" w:fill="DEEAF6"/>
            <w:vAlign w:val="center"/>
          </w:tcPr>
          <w:p w14:paraId="00929BE5" w14:textId="5D3BB248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49018B">
              <w:rPr>
                <w:rFonts w:asciiTheme="minorBidi" w:hAnsiTheme="minorBidi"/>
                <w:sz w:val="18"/>
                <w:szCs w:val="18"/>
                <w:rtl/>
              </w:rPr>
              <w:t>שארלוט</w:t>
            </w:r>
            <w:proofErr w:type="spellEnd"/>
            <w:r w:rsidRPr="0049018B">
              <w:rPr>
                <w:rFonts w:asciiTheme="minorBidi" w:hAnsiTheme="minorBidi"/>
                <w:sz w:val="18"/>
                <w:szCs w:val="18"/>
                <w:rtl/>
              </w:rPr>
              <w:t>, צפון קרוליינה</w:t>
            </w:r>
          </w:p>
        </w:tc>
        <w:tc>
          <w:tcPr>
            <w:tcW w:w="1538" w:type="dxa"/>
            <w:shd w:val="clear" w:color="auto" w:fill="DEEAF6"/>
            <w:vAlign w:val="center"/>
          </w:tcPr>
          <w:p w14:paraId="13734DC0" w14:textId="55D3645B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49018B">
              <w:rPr>
                <w:rFonts w:asciiTheme="minorBidi" w:hAnsiTheme="minorBidi"/>
                <w:sz w:val="18"/>
                <w:szCs w:val="18"/>
                <w:rtl/>
              </w:rPr>
              <w:t>240</w:t>
            </w:r>
          </w:p>
        </w:tc>
        <w:tc>
          <w:tcPr>
            <w:tcW w:w="1155" w:type="dxa"/>
            <w:shd w:val="clear" w:color="auto" w:fill="DEEAF6"/>
            <w:vAlign w:val="center"/>
          </w:tcPr>
          <w:p w14:paraId="497A8303" w14:textId="6D2086BC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49018B">
              <w:rPr>
                <w:rFonts w:asciiTheme="minorBidi" w:hAnsiTheme="minorBidi"/>
                <w:sz w:val="18"/>
                <w:szCs w:val="18"/>
                <w:rtl/>
              </w:rPr>
              <w:t>כ– 56.85 מיליון דולר</w:t>
            </w:r>
          </w:p>
        </w:tc>
        <w:tc>
          <w:tcPr>
            <w:tcW w:w="1226" w:type="dxa"/>
            <w:shd w:val="clear" w:color="auto" w:fill="DEEAF6"/>
            <w:vAlign w:val="center"/>
          </w:tcPr>
          <w:p w14:paraId="7C00DB45" w14:textId="13DDC06D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49018B">
              <w:rPr>
                <w:rFonts w:asciiTheme="minorBidi" w:hAnsiTheme="minorBidi"/>
                <w:sz w:val="18"/>
                <w:szCs w:val="18"/>
                <w:rtl/>
              </w:rPr>
              <w:t>כ– 24.5 מיליון דולר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47E8F208" w14:textId="3D2BDF41" w:rsidR="004E4D33" w:rsidRPr="0049018B" w:rsidRDefault="0006601C" w:rsidP="0006601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49018B">
              <w:rPr>
                <w:rFonts w:asciiTheme="minorBidi" w:hAnsiTheme="minorBidi"/>
                <w:sz w:val="18"/>
                <w:szCs w:val="18"/>
                <w:rtl/>
              </w:rPr>
              <w:t>כ– 3.7 מיליון דולר</w:t>
            </w:r>
          </w:p>
        </w:tc>
      </w:tr>
    </w:tbl>
    <w:p w14:paraId="37B202D9" w14:textId="77777777" w:rsidR="004E4D33" w:rsidRDefault="004E4D33" w:rsidP="00712974">
      <w:pPr>
        <w:autoSpaceDE w:val="0"/>
        <w:autoSpaceDN w:val="0"/>
        <w:bidi/>
        <w:adjustRightInd w:val="0"/>
        <w:spacing w:after="0" w:line="240" w:lineRule="auto"/>
        <w:ind w:left="-149" w:right="-284"/>
        <w:jc w:val="both"/>
        <w:rPr>
          <w:rFonts w:ascii="ArialMT" w:cs="ArialMT"/>
          <w:sz w:val="20"/>
          <w:szCs w:val="20"/>
          <w:rtl/>
        </w:rPr>
      </w:pPr>
    </w:p>
    <w:p w14:paraId="60D46CF2" w14:textId="57FF86FC" w:rsidR="00E05F36" w:rsidRPr="00FD6EBA" w:rsidRDefault="00E05F36" w:rsidP="00D86269">
      <w:pPr>
        <w:ind w:left="2880" w:firstLine="720"/>
        <w:rPr>
          <w:rFonts w:ascii="Arial" w:hAnsi="Arial" w:cs="Arial"/>
          <w:b/>
          <w:bCs/>
          <w:sz w:val="20"/>
          <w:szCs w:val="20"/>
        </w:rPr>
      </w:pPr>
    </w:p>
    <w:p w14:paraId="00EA4612" w14:textId="77777777" w:rsidR="00E05F36" w:rsidRDefault="00E05F36" w:rsidP="00D86269">
      <w:pPr>
        <w:ind w:left="2880" w:firstLine="720"/>
        <w:rPr>
          <w:rFonts w:ascii="Arial" w:hAnsi="Arial" w:cs="Arial"/>
          <w:b/>
          <w:bCs/>
          <w:sz w:val="20"/>
          <w:szCs w:val="20"/>
          <w:rtl/>
        </w:rPr>
      </w:pPr>
    </w:p>
    <w:p w14:paraId="11E8E9B8" w14:textId="747FAB1D" w:rsidR="00D86269" w:rsidRPr="00CE3299" w:rsidRDefault="00625623" w:rsidP="00D86269">
      <w:pPr>
        <w:ind w:left="2880" w:firstLine="720"/>
        <w:rPr>
          <w:rFonts w:ascii="Arial" w:hAnsi="Arial" w:cs="Arial"/>
          <w:b/>
          <w:bCs/>
          <w:sz w:val="20"/>
          <w:szCs w:val="20"/>
          <w:rtl/>
        </w:rPr>
      </w:pPr>
      <w:r w:rsidRPr="00CE3299">
        <w:rPr>
          <w:rFonts w:ascii="Arial" w:hAnsi="Arial" w:cs="Arial"/>
          <w:b/>
          <w:bCs/>
          <w:sz w:val="20"/>
          <w:szCs w:val="20"/>
          <w:rtl/>
        </w:rPr>
        <w:t>אלקטרה נדל"ן בע"מ</w:t>
      </w:r>
    </w:p>
    <w:p w14:paraId="18B6F3D5" w14:textId="151CFFEE" w:rsidR="009D4EA6" w:rsidRDefault="009D4EA6" w:rsidP="00625623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0"/>
          <w:szCs w:val="20"/>
          <w:rtl/>
        </w:rPr>
      </w:pPr>
      <w:bookmarkStart w:id="0" w:name="_GoBack"/>
      <w:bookmarkEnd w:id="0"/>
    </w:p>
    <w:p w14:paraId="1493135F" w14:textId="77777777" w:rsidR="00CE3299" w:rsidRPr="00CE3299" w:rsidRDefault="00CE3299" w:rsidP="00CE3299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0"/>
          <w:szCs w:val="20"/>
          <w:rtl/>
        </w:rPr>
      </w:pPr>
    </w:p>
    <w:p w14:paraId="604AD4FF" w14:textId="71A31704" w:rsidR="00625623" w:rsidRPr="00CE3299" w:rsidRDefault="00625623" w:rsidP="009D4EA6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0"/>
          <w:szCs w:val="20"/>
          <w:rtl/>
        </w:rPr>
      </w:pPr>
      <w:r w:rsidRPr="00CE3299">
        <w:rPr>
          <w:rFonts w:ascii="ArialMT" w:cs="ArialMT"/>
          <w:sz w:val="20"/>
          <w:szCs w:val="20"/>
          <w:rtl/>
        </w:rPr>
        <w:t>שמות החותמים</w:t>
      </w:r>
      <w:r w:rsidRPr="00CE3299">
        <w:rPr>
          <w:rFonts w:ascii="ArialMT" w:cs="ArialMT"/>
          <w:sz w:val="20"/>
          <w:szCs w:val="20"/>
        </w:rPr>
        <w:t>:</w:t>
      </w:r>
    </w:p>
    <w:p w14:paraId="31DA1CB8" w14:textId="343B9EBC" w:rsidR="00625623" w:rsidRPr="00CE3299" w:rsidRDefault="00625623" w:rsidP="00625623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0"/>
          <w:szCs w:val="20"/>
          <w:rtl/>
        </w:rPr>
      </w:pPr>
      <w:r w:rsidRPr="00CE3299">
        <w:rPr>
          <w:rFonts w:ascii="ArialMT" w:cs="ArialMT" w:hint="cs"/>
          <w:sz w:val="20"/>
          <w:szCs w:val="20"/>
          <w:rtl/>
        </w:rPr>
        <w:t>אמיר יניב</w:t>
      </w:r>
      <w:r w:rsidRPr="00CE3299">
        <w:rPr>
          <w:rFonts w:ascii="ArialMT" w:cs="ArialMT"/>
          <w:sz w:val="20"/>
          <w:szCs w:val="20"/>
          <w:rtl/>
        </w:rPr>
        <w:t>, מנכ"ל</w:t>
      </w:r>
    </w:p>
    <w:p w14:paraId="7EAAD766" w14:textId="108A7A0D" w:rsidR="00625623" w:rsidRPr="00CE3299" w:rsidRDefault="009D4EA6" w:rsidP="003629E2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0"/>
          <w:szCs w:val="20"/>
          <w:rtl/>
        </w:rPr>
      </w:pPr>
      <w:r w:rsidRPr="00CE3299">
        <w:rPr>
          <w:rFonts w:ascii="ArialMT" w:cs="ArialMT" w:hint="cs"/>
          <w:sz w:val="20"/>
          <w:szCs w:val="20"/>
          <w:rtl/>
        </w:rPr>
        <w:t>גיל רושינק</w:t>
      </w:r>
      <w:r w:rsidR="00625623" w:rsidRPr="00CE3299">
        <w:rPr>
          <w:rFonts w:ascii="ArialMT" w:cs="ArialMT"/>
          <w:sz w:val="20"/>
          <w:szCs w:val="20"/>
          <w:rtl/>
        </w:rPr>
        <w:t xml:space="preserve">, </w:t>
      </w:r>
      <w:r w:rsidRPr="00CE3299">
        <w:rPr>
          <w:rFonts w:ascii="ArialMT" w:cs="ArialMT" w:hint="cs"/>
          <w:sz w:val="20"/>
          <w:szCs w:val="20"/>
          <w:rtl/>
        </w:rPr>
        <w:t xml:space="preserve">יו"ר </w:t>
      </w:r>
    </w:p>
    <w:sectPr w:rsidR="00625623" w:rsidRPr="00CE3299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DDF1" w14:textId="77777777" w:rsidR="002662B4" w:rsidRDefault="002662B4" w:rsidP="00435EA0">
      <w:pPr>
        <w:spacing w:after="0" w:line="240" w:lineRule="auto"/>
      </w:pPr>
      <w:r>
        <w:separator/>
      </w:r>
    </w:p>
  </w:endnote>
  <w:endnote w:type="continuationSeparator" w:id="0">
    <w:p w14:paraId="2585DD52" w14:textId="77777777" w:rsidR="002662B4" w:rsidRDefault="002662B4" w:rsidP="0043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8145" w14:textId="77777777" w:rsidR="002662B4" w:rsidRDefault="002662B4" w:rsidP="00435EA0">
      <w:pPr>
        <w:spacing w:after="0" w:line="240" w:lineRule="auto"/>
      </w:pPr>
      <w:r>
        <w:separator/>
      </w:r>
    </w:p>
  </w:footnote>
  <w:footnote w:type="continuationSeparator" w:id="0">
    <w:p w14:paraId="76800CAE" w14:textId="77777777" w:rsidR="002662B4" w:rsidRDefault="002662B4" w:rsidP="0043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29B1" w14:textId="4E7345DD" w:rsidR="00435EA0" w:rsidRPr="00435EA0" w:rsidRDefault="00435EA0" w:rsidP="006937AB">
    <w:pPr>
      <w:pStyle w:val="a3"/>
      <w:tabs>
        <w:tab w:val="clear" w:pos="4320"/>
        <w:tab w:val="clear" w:pos="8640"/>
      </w:tabs>
      <w:ind w:right="-7"/>
      <w:jc w:val="center"/>
    </w:pPr>
    <w:r>
      <w:rPr>
        <w:noProof/>
      </w:rPr>
      <w:drawing>
        <wp:inline distT="0" distB="0" distL="0" distR="0" wp14:anchorId="407DAED1" wp14:editId="682B5EF4">
          <wp:extent cx="2921000" cy="336407"/>
          <wp:effectExtent l="0" t="0" r="0" b="6985"/>
          <wp:docPr id="2" name="Picture 2" descr="לוגו אלקטרה נדל&quot;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לוגו אלקטרה נדל&quot;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336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CA"/>
    <w:rsid w:val="00055FA8"/>
    <w:rsid w:val="0006601C"/>
    <w:rsid w:val="00071934"/>
    <w:rsid w:val="000B2052"/>
    <w:rsid w:val="000B6402"/>
    <w:rsid w:val="000F09C1"/>
    <w:rsid w:val="00134A37"/>
    <w:rsid w:val="001B1DB8"/>
    <w:rsid w:val="001E3493"/>
    <w:rsid w:val="002662B4"/>
    <w:rsid w:val="003629E2"/>
    <w:rsid w:val="003B1289"/>
    <w:rsid w:val="00400D82"/>
    <w:rsid w:val="004204AD"/>
    <w:rsid w:val="00427877"/>
    <w:rsid w:val="004318F8"/>
    <w:rsid w:val="00435EA0"/>
    <w:rsid w:val="0049018B"/>
    <w:rsid w:val="004B2E34"/>
    <w:rsid w:val="004C14DE"/>
    <w:rsid w:val="004D29E0"/>
    <w:rsid w:val="004E4D33"/>
    <w:rsid w:val="00525138"/>
    <w:rsid w:val="0053165F"/>
    <w:rsid w:val="005717C5"/>
    <w:rsid w:val="00625623"/>
    <w:rsid w:val="00640B4A"/>
    <w:rsid w:val="006542A7"/>
    <w:rsid w:val="006937AB"/>
    <w:rsid w:val="006A4B70"/>
    <w:rsid w:val="006B4EC0"/>
    <w:rsid w:val="007123EE"/>
    <w:rsid w:val="00712974"/>
    <w:rsid w:val="00760EC9"/>
    <w:rsid w:val="00781926"/>
    <w:rsid w:val="007B7973"/>
    <w:rsid w:val="007E5B4C"/>
    <w:rsid w:val="00802A4C"/>
    <w:rsid w:val="00805533"/>
    <w:rsid w:val="00823C74"/>
    <w:rsid w:val="00826B9B"/>
    <w:rsid w:val="009202AA"/>
    <w:rsid w:val="00976B70"/>
    <w:rsid w:val="009D4EA6"/>
    <w:rsid w:val="009D7DB6"/>
    <w:rsid w:val="009E5357"/>
    <w:rsid w:val="00A03FF7"/>
    <w:rsid w:val="00B32FDF"/>
    <w:rsid w:val="00B35C44"/>
    <w:rsid w:val="00B6206B"/>
    <w:rsid w:val="00BB591A"/>
    <w:rsid w:val="00CE3299"/>
    <w:rsid w:val="00D0476A"/>
    <w:rsid w:val="00D07741"/>
    <w:rsid w:val="00D377E2"/>
    <w:rsid w:val="00D86269"/>
    <w:rsid w:val="00DB5686"/>
    <w:rsid w:val="00E05F36"/>
    <w:rsid w:val="00E304CA"/>
    <w:rsid w:val="00E34241"/>
    <w:rsid w:val="00F05275"/>
    <w:rsid w:val="00F07018"/>
    <w:rsid w:val="00F149D3"/>
    <w:rsid w:val="00F46286"/>
    <w:rsid w:val="00F53B6A"/>
    <w:rsid w:val="00F70D78"/>
    <w:rsid w:val="00FB2EC6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552F"/>
  <w15:chartTrackingRefBased/>
  <w15:docId w15:val="{1E5030E0-5355-45DB-8060-2D361F92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B6A"/>
    <w:pPr>
      <w:bidi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E4D33"/>
    <w:pPr>
      <w:bidi/>
      <w:outlineLvl w:val="1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5EA0"/>
  </w:style>
  <w:style w:type="paragraph" w:styleId="a5">
    <w:name w:val="footer"/>
    <w:basedOn w:val="a"/>
    <w:link w:val="a6"/>
    <w:unhideWhenUsed/>
    <w:rsid w:val="00435E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5EA0"/>
  </w:style>
  <w:style w:type="character" w:styleId="Hyperlink">
    <w:name w:val="Hyperlink"/>
    <w:rsid w:val="00435EA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9E535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E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1E34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10">
    <w:name w:val="כותרת 1 תו"/>
    <w:basedOn w:val="a0"/>
    <w:link w:val="1"/>
    <w:uiPriority w:val="9"/>
    <w:rsid w:val="00F53B6A"/>
    <w:rPr>
      <w:rFonts w:ascii="Arial" w:hAnsi="Arial" w:cs="Arial"/>
      <w:b/>
      <w:bCs/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4E4D33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e.co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a.gov.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.gov.i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se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3BA73386.dotm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Cohen</dc:creator>
  <cp:keywords/>
  <dc:description/>
  <cp:lastModifiedBy>1619</cp:lastModifiedBy>
  <cp:revision>50</cp:revision>
  <cp:lastPrinted>2022-01-30T13:49:00Z</cp:lastPrinted>
  <dcterms:created xsi:type="dcterms:W3CDTF">2022-01-30T11:39:00Z</dcterms:created>
  <dcterms:modified xsi:type="dcterms:W3CDTF">2022-01-30T19:28:00Z</dcterms:modified>
</cp:coreProperties>
</file>